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金融知识科普问答</w:t>
      </w:r>
    </w:p>
    <w:p>
      <w:pPr>
        <w:jc w:val="center"/>
        <w:rPr>
          <w:rFonts w:hint="eastAsia" w:ascii="仿宋" w:hAnsi="仿宋" w:eastAsia="仿宋" w:cs="仿宋"/>
          <w:sz w:val="44"/>
          <w:szCs w:val="44"/>
          <w:lang w:eastAsia="zh-CN"/>
        </w:rPr>
      </w:pPr>
    </w:p>
    <w:p>
      <w:pPr>
        <w:numPr>
          <w:ilvl w:val="0"/>
          <w:numId w:val="1"/>
        </w:numPr>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问：什么是LPR?</w:t>
      </w:r>
    </w:p>
    <w:p>
      <w:pPr>
        <w:numPr>
          <w:ilvl w:val="0"/>
          <w:numId w:val="0"/>
        </w:numPr>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答：LPR即贷款基础利率，是商业银行对其最优质客户执行的贷款利率，其他贷款利率可在此基础上加减点生成。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2</w:t>
      </w:r>
      <w:r>
        <w:rPr>
          <w:rFonts w:hint="eastAsia" w:ascii="仿宋" w:hAnsi="仿宋" w:eastAsia="仿宋" w:cs="仿宋"/>
          <w:kern w:val="2"/>
          <w:sz w:val="30"/>
          <w:szCs w:val="30"/>
          <w:lang w:val="en-US" w:eastAsia="zh-CN" w:bidi="ar-SA"/>
        </w:rPr>
        <w:t>、问：</w:t>
      </w:r>
      <w:r>
        <w:rPr>
          <w:rFonts w:hint="default" w:ascii="仿宋" w:hAnsi="仿宋" w:eastAsia="仿宋" w:cs="仿宋"/>
          <w:kern w:val="2"/>
          <w:sz w:val="30"/>
          <w:szCs w:val="30"/>
          <w:lang w:val="en-US" w:eastAsia="zh-CN" w:bidi="ar-SA"/>
        </w:rPr>
        <w:t>LPR与贷款基准利率有</w:t>
      </w:r>
      <w:r>
        <w:rPr>
          <w:rFonts w:hint="eastAsia" w:ascii="仿宋" w:hAnsi="仿宋" w:eastAsia="仿宋" w:cs="仿宋"/>
          <w:kern w:val="2"/>
          <w:sz w:val="30"/>
          <w:szCs w:val="30"/>
          <w:lang w:val="en-US" w:eastAsia="zh-CN" w:bidi="ar-SA"/>
        </w:rPr>
        <w:t>什么</w:t>
      </w:r>
      <w:r>
        <w:rPr>
          <w:rFonts w:hint="default" w:ascii="仿宋" w:hAnsi="仿宋" w:eastAsia="仿宋" w:cs="仿宋"/>
          <w:kern w:val="2"/>
          <w:sz w:val="30"/>
          <w:szCs w:val="30"/>
          <w:lang w:val="en-US" w:eastAsia="zh-CN" w:bidi="ar-SA"/>
        </w:rPr>
        <w:t>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600" w:firstLineChars="200"/>
        <w:jc w:val="left"/>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答：</w:t>
      </w:r>
      <w:r>
        <w:rPr>
          <w:rFonts w:hint="default" w:ascii="仿宋" w:hAnsi="仿宋" w:eastAsia="仿宋" w:cs="仿宋"/>
          <w:kern w:val="2"/>
          <w:sz w:val="30"/>
          <w:szCs w:val="30"/>
          <w:lang w:val="en-US" w:eastAsia="zh-CN" w:bidi="ar-SA"/>
        </w:rPr>
        <w:t>贷款基准利率由央行定，按年公布。LPR由18家银行共同报价产生，计算方法为去掉一个最高价和一个最低价，最后算术平均得出，按月公布。</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Chars="0" w:right="0" w:rightChars="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3、问：什么是征信？</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Chars="0" w:right="0" w:rightChars="0"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答：征信就是专业化的、独立的第三方机构为公民建立信用档案，依法采集、客观记录您的信用信息，并依法对外提供信用报告的一种活动。</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right="0" w:rightChars="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问：在哪可以查询到自己的征信报告？</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right="0" w:rightChars="0" w:firstLine="6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答：本人在中国人民银行征信中心官网线上查询或个人所在地的人民银行征信管理部门。</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leftChars="0" w:right="0" w:rightChars="0" w:firstLine="0" w:firstLineChars="0"/>
        <w:jc w:val="left"/>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问：</w:t>
      </w:r>
      <w:r>
        <w:rPr>
          <w:rFonts w:hint="default" w:ascii="仿宋" w:hAnsi="仿宋" w:eastAsia="仿宋" w:cs="仿宋"/>
          <w:kern w:val="2"/>
          <w:sz w:val="30"/>
          <w:szCs w:val="30"/>
          <w:lang w:val="en-US" w:eastAsia="zh-CN" w:bidi="ar-SA"/>
        </w:rPr>
        <w:t>什么是洗钱</w:t>
      </w:r>
      <w:r>
        <w:rPr>
          <w:rFonts w:hint="eastAsia" w:ascii="仿宋" w:hAnsi="仿宋" w:eastAsia="仿宋" w:cs="仿宋"/>
          <w:kern w:val="2"/>
          <w:sz w:val="30"/>
          <w:szCs w:val="30"/>
          <w:lang w:val="en-US" w:eastAsia="zh-CN" w:bidi="ar-SA"/>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Chars="0" w:right="0" w:rightChars="0" w:firstLine="600" w:firstLineChars="200"/>
        <w:jc w:val="left"/>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答：</w:t>
      </w:r>
      <w:r>
        <w:rPr>
          <w:rFonts w:hint="default" w:ascii="仿宋" w:hAnsi="仿宋" w:eastAsia="仿宋" w:cs="仿宋"/>
          <w:kern w:val="2"/>
          <w:sz w:val="30"/>
          <w:szCs w:val="30"/>
          <w:lang w:val="en-US" w:eastAsia="zh-CN" w:bidi="ar-SA"/>
        </w:rPr>
        <w:t>洗钱就是将毒品犯罪、黑社会性质的组织犯罪、恐怖活动犯罪、走私犯罪或者其他犯罪的违法所得及其产生的效应，通过各种手段掩饰、隐瞒其来源和性质，使其在形式上合法化的行为。</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leftChars="0" w:right="0" w:rightChars="0" w:firstLine="0" w:firstLineChars="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问：</w:t>
      </w:r>
      <w:r>
        <w:rPr>
          <w:rFonts w:hint="default" w:ascii="仿宋" w:hAnsi="仿宋" w:eastAsia="仿宋" w:cs="仿宋"/>
          <w:kern w:val="2"/>
          <w:sz w:val="30"/>
          <w:szCs w:val="30"/>
          <w:lang w:val="en-US" w:eastAsia="zh-CN" w:bidi="ar-SA"/>
        </w:rPr>
        <w:t>理财4321定律是什么</w:t>
      </w:r>
      <w:r>
        <w:rPr>
          <w:rFonts w:hint="eastAsia" w:ascii="仿宋" w:hAnsi="仿宋" w:eastAsia="仿宋" w:cs="仿宋"/>
          <w:kern w:val="2"/>
          <w:sz w:val="30"/>
          <w:szCs w:val="30"/>
          <w:lang w:val="en-US" w:eastAsia="zh-CN" w:bidi="ar-SA"/>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Chars="0" w:right="0" w:rightChars="0" w:firstLine="600" w:firstLineChars="200"/>
        <w:jc w:val="left"/>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答：</w:t>
      </w:r>
      <w:r>
        <w:rPr>
          <w:rFonts w:hint="default" w:ascii="仿宋" w:hAnsi="仿宋" w:eastAsia="仿宋" w:cs="仿宋"/>
          <w:kern w:val="2"/>
          <w:sz w:val="30"/>
          <w:szCs w:val="30"/>
          <w:lang w:val="en-US" w:eastAsia="zh-CN" w:bidi="ar-SA"/>
        </w:rPr>
        <w:t>是指投资组合的合理配比，40%的资产用于购房及投资，30%的资产用于家庭生活 ，20%</w:t>
      </w:r>
      <w:r>
        <w:rPr>
          <w:rFonts w:hint="eastAsia" w:ascii="仿宋" w:hAnsi="仿宋" w:eastAsia="仿宋" w:cs="仿宋"/>
          <w:kern w:val="2"/>
          <w:sz w:val="30"/>
          <w:szCs w:val="30"/>
          <w:lang w:val="en-US" w:eastAsia="zh-CN" w:bidi="ar-SA"/>
        </w:rPr>
        <w:t>的</w:t>
      </w:r>
      <w:r>
        <w:rPr>
          <w:rFonts w:hint="default" w:ascii="仿宋" w:hAnsi="仿宋" w:eastAsia="仿宋" w:cs="仿宋"/>
          <w:kern w:val="2"/>
          <w:sz w:val="30"/>
          <w:szCs w:val="30"/>
          <w:lang w:val="en-US" w:eastAsia="zh-CN" w:bidi="ar-SA"/>
        </w:rPr>
        <w:t>资产用于银行存款，10%</w:t>
      </w:r>
      <w:r>
        <w:rPr>
          <w:rFonts w:hint="eastAsia" w:ascii="仿宋" w:hAnsi="仿宋" w:eastAsia="仿宋" w:cs="仿宋"/>
          <w:kern w:val="2"/>
          <w:sz w:val="30"/>
          <w:szCs w:val="30"/>
          <w:lang w:val="en-US" w:eastAsia="zh-CN" w:bidi="ar-SA"/>
        </w:rPr>
        <w:t>的</w:t>
      </w:r>
      <w:r>
        <w:rPr>
          <w:rFonts w:hint="default" w:ascii="仿宋" w:hAnsi="仿宋" w:eastAsia="仿宋" w:cs="仿宋"/>
          <w:kern w:val="2"/>
          <w:sz w:val="30"/>
          <w:szCs w:val="30"/>
          <w:lang w:val="en-US" w:eastAsia="zh-CN" w:bidi="ar-SA"/>
        </w:rPr>
        <w:t>资产用于保险。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left"/>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7、问：</w:t>
      </w:r>
      <w:r>
        <w:rPr>
          <w:rFonts w:hint="default" w:ascii="仿宋" w:hAnsi="仿宋" w:eastAsia="仿宋" w:cs="仿宋"/>
          <w:kern w:val="2"/>
          <w:sz w:val="30"/>
          <w:szCs w:val="30"/>
          <w:lang w:val="en-US" w:eastAsia="zh-CN" w:bidi="ar-SA"/>
        </w:rPr>
        <w:t>非法集资的特征</w:t>
      </w:r>
      <w:r>
        <w:rPr>
          <w:rFonts w:hint="eastAsia" w:ascii="仿宋" w:hAnsi="仿宋" w:eastAsia="仿宋" w:cs="仿宋"/>
          <w:kern w:val="2"/>
          <w:sz w:val="30"/>
          <w:szCs w:val="30"/>
          <w:lang w:val="en-US" w:eastAsia="zh-CN" w:bidi="ar-SA"/>
        </w:rPr>
        <w:t>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2" w:afterAutospacing="0"/>
        <w:ind w:left="0" w:right="0" w:firstLine="0"/>
        <w:jc w:val="left"/>
        <w:rPr>
          <w:rFonts w:hint="eastAsia"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 </w:t>
      </w:r>
      <w:r>
        <w:rPr>
          <w:rFonts w:hint="eastAsia" w:ascii="仿宋" w:hAnsi="仿宋" w:eastAsia="仿宋" w:cs="仿宋"/>
          <w:kern w:val="2"/>
          <w:sz w:val="30"/>
          <w:szCs w:val="30"/>
          <w:lang w:val="en-US" w:eastAsia="zh-CN" w:bidi="ar-SA"/>
        </w:rPr>
        <w:t xml:space="preserve">  答：</w:t>
      </w:r>
      <w:r>
        <w:rPr>
          <w:rFonts w:hint="default" w:ascii="仿宋" w:hAnsi="仿宋" w:eastAsia="仿宋" w:cs="仿宋"/>
          <w:kern w:val="2"/>
          <w:sz w:val="30"/>
          <w:szCs w:val="30"/>
          <w:lang w:val="en-US" w:eastAsia="zh-CN" w:bidi="ar-SA"/>
        </w:rPr>
        <w:t>未经有关部门依法批准或者借用合法经营的形式吸收资金</w:t>
      </w:r>
      <w:r>
        <w:rPr>
          <w:rFonts w:hint="eastAsia" w:ascii="仿宋" w:hAnsi="仿宋" w:eastAsia="仿宋" w:cs="仿宋"/>
          <w:kern w:val="2"/>
          <w:sz w:val="30"/>
          <w:szCs w:val="30"/>
          <w:lang w:val="en-US" w:eastAsia="zh-CN" w:bidi="ar-SA"/>
        </w:rPr>
        <w:t>；</w:t>
      </w:r>
      <w:r>
        <w:rPr>
          <w:rFonts w:hint="default" w:ascii="仿宋" w:hAnsi="仿宋" w:eastAsia="仿宋" w:cs="仿宋"/>
          <w:kern w:val="2"/>
          <w:sz w:val="30"/>
          <w:szCs w:val="30"/>
          <w:lang w:val="en-US" w:eastAsia="zh-CN" w:bidi="ar-SA"/>
        </w:rPr>
        <w:t>通过媒体、推介会、传单、手机短信等途径社会公开宣传</w:t>
      </w:r>
      <w:r>
        <w:rPr>
          <w:rFonts w:hint="eastAsia" w:ascii="仿宋" w:hAnsi="仿宋" w:eastAsia="仿宋" w:cs="仿宋"/>
          <w:kern w:val="2"/>
          <w:sz w:val="30"/>
          <w:szCs w:val="30"/>
          <w:lang w:val="en-US" w:eastAsia="zh-CN" w:bidi="ar-SA"/>
        </w:rPr>
        <w:t>；</w:t>
      </w:r>
      <w:r>
        <w:rPr>
          <w:rFonts w:hint="default" w:ascii="仿宋" w:hAnsi="仿宋" w:eastAsia="仿宋" w:cs="仿宋"/>
          <w:kern w:val="2"/>
          <w:sz w:val="30"/>
          <w:szCs w:val="30"/>
          <w:lang w:val="en-US" w:eastAsia="zh-CN" w:bidi="ar-SA"/>
        </w:rPr>
        <w:t>承诺在一定期限内以货币、实物、股权等方式还本付息或者给付回报</w:t>
      </w:r>
      <w:r>
        <w:rPr>
          <w:rFonts w:hint="eastAsia" w:ascii="仿宋" w:hAnsi="仿宋" w:eastAsia="仿宋" w:cs="仿宋"/>
          <w:kern w:val="2"/>
          <w:sz w:val="30"/>
          <w:szCs w:val="30"/>
          <w:lang w:val="en-US" w:eastAsia="zh-CN" w:bidi="ar-SA"/>
        </w:rPr>
        <w:t>；</w:t>
      </w:r>
      <w:r>
        <w:rPr>
          <w:rFonts w:hint="default" w:ascii="仿宋" w:hAnsi="仿宋" w:eastAsia="仿宋" w:cs="仿宋"/>
          <w:kern w:val="2"/>
          <w:sz w:val="30"/>
          <w:szCs w:val="30"/>
          <w:lang w:val="en-US" w:eastAsia="zh-CN" w:bidi="ar-SA"/>
        </w:rPr>
        <w:t>向社会公众即社会不特定对象吸收资金</w:t>
      </w:r>
      <w:r>
        <w:rPr>
          <w:rFonts w:hint="eastAsia" w:ascii="仿宋" w:hAnsi="仿宋" w:eastAsia="仿宋" w:cs="仿宋"/>
          <w:kern w:val="2"/>
          <w:sz w:val="30"/>
          <w:szCs w:val="30"/>
          <w:lang w:val="en-US" w:eastAsia="zh-CN" w:bidi="ar-SA"/>
        </w:rPr>
        <w:t>。</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2" w:afterAutospacing="0"/>
        <w:ind w:leftChars="0" w:right="0" w:rightChars="0"/>
        <w:jc w:val="left"/>
        <w:rPr>
          <w:rFonts w:hint="eastAsia" w:ascii="仿宋" w:hAnsi="仿宋" w:eastAsia="仿宋" w:cs="仿宋"/>
          <w:kern w:val="2"/>
          <w:sz w:val="30"/>
          <w:szCs w:val="30"/>
          <w:lang w:val="en-US" w:eastAsia="zh-CN" w:bidi="ar-SA"/>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2" w:afterAutospacing="0"/>
        <w:ind w:leftChars="0" w:right="0" w:rightChars="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8、问：征信机构对个人不良信用信息保存期限？</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2" w:afterAutospacing="0"/>
        <w:ind w:leftChars="0" w:right="0" w:rightChars="0"/>
        <w:jc w:val="left"/>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答：自不良行为或事件终止之日起5年。</w:t>
      </w:r>
    </w:p>
    <w:p>
      <w:pPr>
        <w:tabs>
          <w:tab w:val="left" w:pos="3231"/>
          <w:tab w:val="center" w:pos="5873"/>
        </w:tabs>
        <w:jc w:val="left"/>
        <w:rPr>
          <w:rFonts w:hint="eastAsia" w:ascii="仿宋" w:hAnsi="仿宋" w:eastAsia="仿宋" w:cs="仿宋"/>
          <w:i w:val="0"/>
          <w:caps w:val="0"/>
          <w:color w:val="333333"/>
          <w:spacing w:val="6"/>
          <w:kern w:val="0"/>
          <w:sz w:val="32"/>
          <w:szCs w:val="32"/>
          <w:shd w:val="clear" w:fill="FFFFFF"/>
          <w:lang w:val="en-US" w:eastAsia="zh-CN" w:bidi="ar"/>
        </w:rPr>
      </w:pPr>
    </w:p>
    <w:p>
      <w:pPr>
        <w:tabs>
          <w:tab w:val="left" w:pos="3231"/>
          <w:tab w:val="center" w:pos="5873"/>
        </w:tabs>
        <w:jc w:val="left"/>
        <w:rPr>
          <w:rFonts w:hint="eastAsia" w:ascii="仿宋" w:hAnsi="仿宋" w:eastAsia="仿宋" w:cs="仿宋"/>
          <w:i w:val="0"/>
          <w:caps w:val="0"/>
          <w:color w:val="333333"/>
          <w:spacing w:val="6"/>
          <w:kern w:val="0"/>
          <w:sz w:val="32"/>
          <w:szCs w:val="32"/>
          <w:shd w:val="clear" w:fill="FFFFFF"/>
          <w:lang w:val="en-US" w:eastAsia="zh-CN" w:bidi="ar"/>
        </w:rPr>
      </w:pPr>
      <w:r>
        <w:rPr>
          <w:rFonts w:hint="eastAsia" w:ascii="仿宋" w:hAnsi="仿宋" w:eastAsia="仿宋" w:cs="仿宋"/>
          <w:i w:val="0"/>
          <w:caps w:val="0"/>
          <w:color w:val="333333"/>
          <w:spacing w:val="6"/>
          <w:kern w:val="0"/>
          <w:sz w:val="32"/>
          <w:szCs w:val="32"/>
          <w:shd w:val="clear" w:fill="FFFFFF"/>
          <w:lang w:val="en-US" w:eastAsia="zh-CN" w:bidi="ar"/>
        </w:rPr>
        <w:tab/>
        <w:t>乌鲁木齐市新商路小额贷款股份</w:t>
      </w:r>
    </w:p>
    <w:p>
      <w:pPr>
        <w:ind w:firstLine="3320" w:firstLineChars="1000"/>
        <w:jc w:val="center"/>
        <w:rPr>
          <w:rFonts w:hint="default" w:ascii="仿宋" w:hAnsi="仿宋" w:eastAsia="仿宋" w:cs="仿宋"/>
          <w:kern w:val="2"/>
          <w:sz w:val="30"/>
          <w:szCs w:val="30"/>
          <w:lang w:val="en-US" w:eastAsia="zh-CN" w:bidi="ar-SA"/>
        </w:rPr>
      </w:pPr>
      <w:r>
        <w:rPr>
          <w:rFonts w:hint="eastAsia" w:ascii="仿宋" w:hAnsi="仿宋" w:eastAsia="仿宋" w:cs="仿宋"/>
          <w:i w:val="0"/>
          <w:caps w:val="0"/>
          <w:color w:val="333333"/>
          <w:spacing w:val="6"/>
          <w:kern w:val="0"/>
          <w:sz w:val="32"/>
          <w:szCs w:val="32"/>
          <w:shd w:val="clear" w:fill="FFFFFF"/>
          <w:lang w:val="en-US" w:eastAsia="zh-CN" w:bidi="ar"/>
        </w:rPr>
        <w:t>有限公司（宣）</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C60D2C"/>
    <w:multiLevelType w:val="singleLevel"/>
    <w:tmpl w:val="E8C60D2C"/>
    <w:lvl w:ilvl="0" w:tentative="0">
      <w:start w:val="4"/>
      <w:numFmt w:val="decimal"/>
      <w:suff w:val="nothing"/>
      <w:lvlText w:val="%1、"/>
      <w:lvlJc w:val="left"/>
    </w:lvl>
  </w:abstractNum>
  <w:abstractNum w:abstractNumId="1">
    <w:nsid w:val="4DC677CE"/>
    <w:multiLevelType w:val="singleLevel"/>
    <w:tmpl w:val="4DC677C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2754B"/>
    <w:rsid w:val="03E43FA0"/>
    <w:rsid w:val="06982207"/>
    <w:rsid w:val="06D904B3"/>
    <w:rsid w:val="0C0E647D"/>
    <w:rsid w:val="1B3E1D19"/>
    <w:rsid w:val="1B5C5560"/>
    <w:rsid w:val="1D907045"/>
    <w:rsid w:val="228A5633"/>
    <w:rsid w:val="26A17488"/>
    <w:rsid w:val="26C41B2E"/>
    <w:rsid w:val="27817CEC"/>
    <w:rsid w:val="2DEC1070"/>
    <w:rsid w:val="2ED74E6C"/>
    <w:rsid w:val="32B67285"/>
    <w:rsid w:val="35753DAA"/>
    <w:rsid w:val="35780FDC"/>
    <w:rsid w:val="3AA15954"/>
    <w:rsid w:val="3C0725DB"/>
    <w:rsid w:val="3FB41E53"/>
    <w:rsid w:val="43821394"/>
    <w:rsid w:val="45B475AB"/>
    <w:rsid w:val="46331013"/>
    <w:rsid w:val="4B7946E4"/>
    <w:rsid w:val="56FF0C2C"/>
    <w:rsid w:val="5BF51738"/>
    <w:rsid w:val="605A524B"/>
    <w:rsid w:val="60BC6926"/>
    <w:rsid w:val="6A5161CE"/>
    <w:rsid w:val="6B060242"/>
    <w:rsid w:val="6C3E0C39"/>
    <w:rsid w:val="6D7F6506"/>
    <w:rsid w:val="7461235E"/>
    <w:rsid w:val="79C96688"/>
    <w:rsid w:val="7B1036A1"/>
    <w:rsid w:val="7E0C5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李健</cp:lastModifiedBy>
  <dcterms:modified xsi:type="dcterms:W3CDTF">2020-09-21T11:26:34Z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